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32D86DCA" w:rsidR="00F8361E" w:rsidRPr="00B15A02" w:rsidRDefault="00B86ADD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86ADD">
        <w:rPr>
          <w:rFonts w:ascii="Arial" w:hAnsi="Arial" w:cs="Arial"/>
          <w:b/>
          <w:sz w:val="36"/>
          <w:lang w:val="az-Latn-AZ"/>
        </w:rPr>
        <w:t>“</w:t>
      </w:r>
      <w:r w:rsidR="00BC4CA5">
        <w:rPr>
          <w:rFonts w:ascii="Arial" w:hAnsi="Arial" w:cs="Arial"/>
          <w:b/>
          <w:sz w:val="36"/>
          <w:lang w:val="az-Latn-AZ"/>
        </w:rPr>
        <w:t>Qış naxışı</w:t>
      </w:r>
      <w:r w:rsidRPr="00B86ADD">
        <w:rPr>
          <w:rFonts w:ascii="Arial" w:hAnsi="Arial" w:cs="Arial"/>
          <w:b/>
          <w:sz w:val="36"/>
          <w:lang w:val="az-Latn-AZ"/>
        </w:rPr>
        <w:t xml:space="preserve">” </w:t>
      </w:r>
      <w:r w:rsidR="00F8361E" w:rsidRPr="00050011">
        <w:rPr>
          <w:rFonts w:ascii="Arial" w:hAnsi="Arial" w:cs="Arial"/>
          <w:b/>
          <w:sz w:val="36"/>
          <w:lang w:val="az-Latn-AZ"/>
        </w:rPr>
        <w:t>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1F1FD3DB" w:rsidR="00F8361E" w:rsidRPr="0019394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BC4CA5">
        <w:rPr>
          <w:rFonts w:ascii="Arial" w:hAnsi="Arial" w:cs="Arial"/>
          <w:sz w:val="28"/>
          <w:szCs w:val="28"/>
          <w:lang w:val="az-Latn-AZ"/>
        </w:rPr>
        <w:t>Qış naxışı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6F10C2" w:rsidRPr="0019394C">
        <w:rPr>
          <w:rFonts w:ascii="Arial" w:hAnsi="Arial" w:cs="Arial"/>
          <w:sz w:val="28"/>
          <w:szCs w:val="28"/>
          <w:lang w:val="az-Latn-AZ"/>
        </w:rPr>
        <w:t>ani lotereya biletinin qiyməti</w:t>
      </w:r>
      <w:r w:rsidRPr="0019394C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BC4CA5" w:rsidRPr="0019394C">
        <w:rPr>
          <w:rFonts w:ascii="Arial" w:hAnsi="Arial" w:cs="Arial"/>
          <w:sz w:val="28"/>
          <w:szCs w:val="28"/>
          <w:lang w:val="az-Latn-AZ"/>
        </w:rPr>
        <w:t>3</w:t>
      </w:r>
      <w:r w:rsidRPr="0019394C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BC4CA5" w:rsidRPr="0019394C">
        <w:rPr>
          <w:rFonts w:ascii="Arial" w:hAnsi="Arial" w:cs="Arial"/>
          <w:sz w:val="28"/>
          <w:szCs w:val="28"/>
          <w:lang w:val="az-Latn-AZ"/>
        </w:rPr>
        <w:t>üç</w:t>
      </w:r>
      <w:r w:rsidRPr="0019394C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1901FC78" w:rsidR="0054434D" w:rsidRPr="0019394C" w:rsidRDefault="0019394C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19394C">
        <w:rPr>
          <w:rFonts w:ascii="Arial" w:hAnsi="Arial" w:cs="Arial"/>
          <w:sz w:val="28"/>
          <w:szCs w:val="28"/>
          <w:lang w:val="az-Latn-AZ"/>
        </w:rPr>
        <w:t>2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BC4CA5">
        <w:rPr>
          <w:rFonts w:ascii="Arial" w:hAnsi="Arial" w:cs="Arial"/>
          <w:sz w:val="28"/>
          <w:szCs w:val="28"/>
          <w:lang w:val="az-Latn-AZ"/>
        </w:rPr>
        <w:t>Qış naxışı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 xml:space="preserve">ani lotereyasının qüvvədə olan müddəti: </w:t>
      </w:r>
      <w:r w:rsidR="002507CD" w:rsidRPr="0019394C">
        <w:rPr>
          <w:rFonts w:ascii="Arial" w:hAnsi="Arial" w:cs="Arial"/>
          <w:sz w:val="28"/>
          <w:szCs w:val="28"/>
          <w:lang w:val="az-Latn-AZ"/>
        </w:rPr>
        <w:t>2</w:t>
      </w:r>
      <w:r w:rsidR="00C4686A" w:rsidRPr="0019394C">
        <w:rPr>
          <w:rFonts w:ascii="Arial" w:hAnsi="Arial" w:cs="Arial"/>
          <w:sz w:val="28"/>
          <w:szCs w:val="28"/>
          <w:lang w:val="az-Latn-AZ"/>
        </w:rPr>
        <w:t>2</w:t>
      </w:r>
      <w:r w:rsidR="00BC4CA5" w:rsidRPr="0019394C">
        <w:rPr>
          <w:rFonts w:ascii="Arial" w:hAnsi="Arial" w:cs="Arial"/>
          <w:sz w:val="28"/>
          <w:szCs w:val="28"/>
          <w:lang w:val="az-Latn-AZ"/>
        </w:rPr>
        <w:t xml:space="preserve"> oktyabr</w:t>
      </w:r>
      <w:r w:rsidR="00B86ADD" w:rsidRPr="0019394C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>202</w:t>
      </w:r>
      <w:r w:rsidR="00B86ADD" w:rsidRPr="0019394C">
        <w:rPr>
          <w:rFonts w:ascii="Arial" w:hAnsi="Arial" w:cs="Arial"/>
          <w:sz w:val="28"/>
          <w:szCs w:val="28"/>
          <w:lang w:val="az-Latn-AZ"/>
        </w:rPr>
        <w:t>5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>-c</w:t>
      </w:r>
      <w:r w:rsidR="00B86ADD" w:rsidRPr="0019394C">
        <w:rPr>
          <w:rFonts w:ascii="Arial" w:hAnsi="Arial" w:cs="Arial"/>
          <w:sz w:val="28"/>
          <w:szCs w:val="28"/>
          <w:lang w:val="az-Latn-AZ"/>
        </w:rPr>
        <w:t>i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2507CD" w:rsidRPr="0019394C">
        <w:rPr>
          <w:rFonts w:ascii="Arial" w:hAnsi="Arial" w:cs="Arial"/>
          <w:sz w:val="28"/>
          <w:szCs w:val="28"/>
          <w:lang w:val="az-Latn-AZ"/>
        </w:rPr>
        <w:t>2</w:t>
      </w:r>
      <w:r w:rsidR="00C4686A" w:rsidRPr="0019394C">
        <w:rPr>
          <w:rFonts w:ascii="Arial" w:hAnsi="Arial" w:cs="Arial"/>
          <w:sz w:val="28"/>
          <w:szCs w:val="28"/>
          <w:lang w:val="az-Latn-AZ"/>
        </w:rPr>
        <w:t>2</w:t>
      </w:r>
      <w:r w:rsidR="00BC4CA5" w:rsidRPr="0019394C">
        <w:rPr>
          <w:rFonts w:ascii="Arial" w:hAnsi="Arial" w:cs="Arial"/>
          <w:sz w:val="28"/>
          <w:szCs w:val="28"/>
          <w:lang w:val="az-Latn-AZ"/>
        </w:rPr>
        <w:t xml:space="preserve"> oktyabr</w:t>
      </w:r>
      <w:r w:rsidR="00B86ADD" w:rsidRPr="0019394C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>202</w:t>
      </w:r>
      <w:r w:rsidR="00B86ADD" w:rsidRPr="0019394C">
        <w:rPr>
          <w:rFonts w:ascii="Arial" w:hAnsi="Arial" w:cs="Arial"/>
          <w:sz w:val="28"/>
          <w:szCs w:val="28"/>
          <w:lang w:val="az-Latn-AZ"/>
        </w:rPr>
        <w:t>8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>-c</w:t>
      </w:r>
      <w:r w:rsidR="006F5259" w:rsidRPr="0019394C">
        <w:rPr>
          <w:rFonts w:ascii="Arial" w:hAnsi="Arial" w:cs="Arial"/>
          <w:sz w:val="28"/>
          <w:szCs w:val="28"/>
          <w:lang w:val="az-Latn-AZ"/>
        </w:rPr>
        <w:t>i</w:t>
      </w:r>
      <w:r w:rsidR="0054434D" w:rsidRPr="0019394C">
        <w:rPr>
          <w:rFonts w:ascii="Arial" w:hAnsi="Arial" w:cs="Arial"/>
          <w:sz w:val="28"/>
          <w:szCs w:val="28"/>
          <w:lang w:val="az-Latn-AZ"/>
        </w:rPr>
        <w:t xml:space="preserve"> il.</w:t>
      </w:r>
    </w:p>
    <w:p w14:paraId="58CBA93D" w14:textId="22708034" w:rsidR="00B5181C" w:rsidRPr="0037227C" w:rsidRDefault="0019394C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701C1395" w14:textId="07E968FD" w:rsidR="00B616C9" w:rsidRDefault="00B616C9" w:rsidP="00B616C9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616C9">
        <w:rPr>
          <w:rFonts w:ascii="Arial" w:hAnsi="Arial" w:cs="Arial"/>
          <w:b/>
          <w:bCs/>
          <w:sz w:val="28"/>
          <w:szCs w:val="28"/>
          <w:lang w:val="az-Latn-AZ"/>
        </w:rPr>
        <w:t>UDUŞLU RƏQƏMLƏR</w:t>
      </w:r>
      <w:r w:rsidRPr="00B616C9">
        <w:rPr>
          <w:rFonts w:ascii="Arial" w:hAnsi="Arial" w:cs="Arial"/>
          <w:sz w:val="28"/>
          <w:szCs w:val="28"/>
          <w:lang w:val="az-Latn-AZ"/>
        </w:rPr>
        <w:t xml:space="preserve"> və </w:t>
      </w:r>
      <w:r w:rsidRPr="00B616C9">
        <w:rPr>
          <w:rFonts w:ascii="Arial" w:hAnsi="Arial" w:cs="Arial"/>
          <w:b/>
          <w:bCs/>
          <w:sz w:val="28"/>
          <w:szCs w:val="28"/>
          <w:lang w:val="az-Latn-AZ"/>
        </w:rPr>
        <w:t>RƏQƏMLƏRİNİZ </w:t>
      </w:r>
      <w:r w:rsidRPr="00B616C9">
        <w:rPr>
          <w:rFonts w:ascii="Arial" w:hAnsi="Arial" w:cs="Arial"/>
          <w:sz w:val="28"/>
          <w:szCs w:val="28"/>
          <w:lang w:val="az-Latn-AZ"/>
        </w:rPr>
        <w:t xml:space="preserve">lövhələrini, </w:t>
      </w:r>
      <w:r w:rsidRPr="00B616C9">
        <w:rPr>
          <w:rFonts w:ascii="Arial" w:hAnsi="Arial" w:cs="Arial"/>
          <w:b/>
          <w:bCs/>
          <w:sz w:val="28"/>
          <w:szCs w:val="28"/>
          <w:lang w:val="az-Latn-AZ"/>
        </w:rPr>
        <w:t>BONUS</w:t>
      </w:r>
      <w:r w:rsidRPr="00B616C9">
        <w:rPr>
          <w:rFonts w:ascii="Arial" w:hAnsi="Arial" w:cs="Arial"/>
          <w:sz w:val="28"/>
          <w:szCs w:val="28"/>
          <w:lang w:val="az-Latn-AZ"/>
        </w:rPr>
        <w:t> xanalarını poz.</w:t>
      </w:r>
    </w:p>
    <w:p w14:paraId="00283617" w14:textId="20B78E8D" w:rsidR="00B616C9" w:rsidRPr="005E0420" w:rsidRDefault="00B616C9" w:rsidP="00B616C9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616C9">
        <w:rPr>
          <w:rFonts w:ascii="Arial" w:hAnsi="Arial" w:cs="Arial"/>
          <w:b/>
          <w:bCs/>
          <w:sz w:val="28"/>
          <w:szCs w:val="28"/>
          <w:lang w:val="az-Latn-AZ"/>
        </w:rPr>
        <w:t>UDUŞLU RƏQƏMLƏR</w:t>
      </w:r>
      <w:r w:rsidRPr="008F12DB">
        <w:rPr>
          <w:rFonts w:ascii="Arial" w:hAnsi="Arial" w:cs="Arial"/>
          <w:sz w:val="28"/>
          <w:szCs w:val="28"/>
          <w:lang w:val="az-Latn-AZ"/>
        </w:rPr>
        <w:t>dən</w:t>
      </w:r>
      <w:r w:rsidRPr="005E0420">
        <w:rPr>
          <w:rFonts w:ascii="Arial" w:hAnsi="Arial" w:cs="Arial"/>
          <w:sz w:val="28"/>
          <w:szCs w:val="28"/>
          <w:lang w:val="az-Latn-AZ"/>
        </w:rPr>
        <w:t> hər hansı biri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B616C9">
        <w:rPr>
          <w:rFonts w:ascii="Arial" w:hAnsi="Arial" w:cs="Arial"/>
          <w:sz w:val="28"/>
          <w:szCs w:val="28"/>
          <w:lang w:val="az-Latn-AZ"/>
        </w:rPr>
        <w:t>RƏQƏMLƏRİNİZ</w:t>
      </w:r>
      <w:r w:rsidRPr="00175AC7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5E0420">
        <w:rPr>
          <w:rFonts w:ascii="Arial" w:hAnsi="Arial" w:cs="Arial"/>
          <w:sz w:val="28"/>
          <w:szCs w:val="28"/>
          <w:lang w:val="az-Latn-AZ"/>
        </w:rPr>
        <w:t xml:space="preserve">ilə uyğun olsun, </w:t>
      </w:r>
      <w:r>
        <w:rPr>
          <w:rFonts w:ascii="Arial" w:hAnsi="Arial" w:cs="Arial"/>
          <w:sz w:val="28"/>
          <w:szCs w:val="28"/>
          <w:lang w:val="az-Latn-AZ"/>
        </w:rPr>
        <w:t>altdakı</w:t>
      </w:r>
      <w:r w:rsidRPr="005E0420">
        <w:rPr>
          <w:rFonts w:ascii="Arial" w:hAnsi="Arial" w:cs="Arial"/>
          <w:sz w:val="28"/>
          <w:szCs w:val="28"/>
          <w:lang w:val="az-Latn-AZ"/>
        </w:rPr>
        <w:t xml:space="preserve"> məbləği qazan.</w:t>
      </w:r>
    </w:p>
    <w:p w14:paraId="21AFC6AE" w14:textId="255EFE5A" w:rsidR="00B616C9" w:rsidRPr="00EE6AEB" w:rsidRDefault="00B616C9" w:rsidP="00B616C9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616C9">
        <w:rPr>
          <w:rFonts w:ascii="Arial" w:hAnsi="Arial" w:cs="Arial"/>
          <w:b/>
          <w:bCs/>
          <w:sz w:val="28"/>
          <w:szCs w:val="28"/>
          <w:lang w:val="az-Latn-AZ"/>
        </w:rPr>
        <w:t>BONUS OYUNU:</w:t>
      </w:r>
      <w:r w:rsidRPr="005E0420">
        <w:rPr>
          <w:rFonts w:ascii="Arial" w:hAnsi="Arial" w:cs="Arial"/>
          <w:sz w:val="28"/>
          <w:szCs w:val="28"/>
          <w:lang w:val="az-Latn-AZ"/>
        </w:rPr>
        <w:t xml:space="preserve"> Hər hansı bir xanada 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75AC7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6F65CF23" wp14:editId="1D9FF4AF">
            <wp:extent cx="508201" cy="372801"/>
            <wp:effectExtent l="0" t="0" r="6350" b="8255"/>
            <wp:docPr id="1127350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50548" name=""/>
                    <pic:cNvPicPr/>
                  </pic:nvPicPr>
                  <pic:blipFill rotWithShape="1">
                    <a:blip r:embed="rId5"/>
                    <a:srcRect l="6396" t="11048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72" cy="37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az-Latn-AZ"/>
        </w:rPr>
        <w:t xml:space="preserve">  </w:t>
      </w:r>
      <w:r w:rsidRPr="005E0420">
        <w:rPr>
          <w:rFonts w:ascii="Arial" w:hAnsi="Arial" w:cs="Arial"/>
          <w:sz w:val="28"/>
          <w:szCs w:val="28"/>
          <w:lang w:val="az-Latn-AZ"/>
        </w:rPr>
        <w:t xml:space="preserve">simvolunu tap,  </w:t>
      </w:r>
      <w:r>
        <w:rPr>
          <w:rFonts w:ascii="Arial" w:hAnsi="Arial" w:cs="Arial"/>
          <w:sz w:val="28"/>
          <w:szCs w:val="28"/>
          <w:lang w:val="az-Latn-AZ"/>
        </w:rPr>
        <w:t>müvafiq bonus xanasındakı</w:t>
      </w:r>
      <w:r w:rsidRPr="005E0420">
        <w:rPr>
          <w:rFonts w:ascii="Arial" w:hAnsi="Arial" w:cs="Arial"/>
          <w:sz w:val="28"/>
          <w:szCs w:val="28"/>
          <w:lang w:val="az-Latn-AZ"/>
        </w:rPr>
        <w:t xml:space="preserve"> məbləği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5E0420">
        <w:rPr>
          <w:rFonts w:ascii="Arial" w:hAnsi="Arial" w:cs="Arial"/>
          <w:sz w:val="28"/>
          <w:szCs w:val="28"/>
          <w:lang w:val="az-Latn-AZ"/>
        </w:rPr>
        <w:t>qazan.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28A7BF7E" w14:textId="77777777" w:rsidR="001B4B4D" w:rsidRPr="0019394C" w:rsidRDefault="001B4B4D" w:rsidP="0019394C">
      <w:pPr>
        <w:spacing w:after="160" w:line="259" w:lineRule="auto"/>
        <w:ind w:left="720"/>
        <w:rPr>
          <w:rFonts w:ascii="Arial" w:hAnsi="Arial" w:cs="Arial"/>
          <w:sz w:val="28"/>
          <w:szCs w:val="28"/>
          <w:lang w:val="az-Latn-AZ"/>
        </w:rPr>
      </w:pPr>
    </w:p>
    <w:p w14:paraId="7E271A5B" w14:textId="163A60A2" w:rsidR="00F8361E" w:rsidRPr="00B6287A" w:rsidRDefault="0019394C" w:rsidP="00B6287A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B6287A">
        <w:rPr>
          <w:rFonts w:ascii="Arial" w:hAnsi="Arial" w:cs="Arial"/>
          <w:sz w:val="28"/>
          <w:szCs w:val="28"/>
        </w:rPr>
        <w:t>.</w:t>
      </w:r>
      <w:r w:rsidR="00B5181C" w:rsidRPr="00B6287A">
        <w:rPr>
          <w:rFonts w:ascii="Arial" w:hAnsi="Arial" w:cs="Arial"/>
          <w:sz w:val="28"/>
          <w:szCs w:val="28"/>
          <w:lang w:val="az-Latn-AZ"/>
        </w:rPr>
        <w:t>1</w:t>
      </w:r>
      <w:r w:rsidR="00F8361E" w:rsidRPr="00B6287A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B616C9" w:rsidRPr="0037227C" w14:paraId="159FDE26" w14:textId="77777777" w:rsidTr="00FC0525">
        <w:trPr>
          <w:trHeight w:val="290"/>
        </w:trPr>
        <w:tc>
          <w:tcPr>
            <w:tcW w:w="2028" w:type="dxa"/>
            <w:vAlign w:val="center"/>
            <w:hideMark/>
          </w:tcPr>
          <w:p w14:paraId="2A8EBEA2" w14:textId="2807689C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3</w:t>
            </w:r>
          </w:p>
        </w:tc>
        <w:tc>
          <w:tcPr>
            <w:tcW w:w="3871" w:type="dxa"/>
            <w:vAlign w:val="center"/>
            <w:hideMark/>
          </w:tcPr>
          <w:p w14:paraId="41341E39" w14:textId="51148016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3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07785497" w14:textId="224E8079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253 000</w:t>
            </w:r>
          </w:p>
        </w:tc>
        <w:tc>
          <w:tcPr>
            <w:tcW w:w="2028" w:type="dxa"/>
            <w:vAlign w:val="bottom"/>
            <w:hideMark/>
          </w:tcPr>
          <w:p w14:paraId="2E51DD34" w14:textId="7124C60C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759 000</w:t>
            </w:r>
          </w:p>
        </w:tc>
      </w:tr>
      <w:tr w:rsidR="00B616C9" w:rsidRPr="0037227C" w14:paraId="12040297" w14:textId="77777777" w:rsidTr="00FC0525">
        <w:trPr>
          <w:trHeight w:val="290"/>
        </w:trPr>
        <w:tc>
          <w:tcPr>
            <w:tcW w:w="2028" w:type="dxa"/>
            <w:vAlign w:val="center"/>
            <w:hideMark/>
          </w:tcPr>
          <w:p w14:paraId="311A0B82" w14:textId="57CF585F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5</w:t>
            </w:r>
          </w:p>
        </w:tc>
        <w:tc>
          <w:tcPr>
            <w:tcW w:w="3871" w:type="dxa"/>
            <w:vAlign w:val="center"/>
            <w:hideMark/>
          </w:tcPr>
          <w:p w14:paraId="4F383A71" w14:textId="28C26FCE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3B26CE14" w14:textId="546DA399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156 000</w:t>
            </w:r>
          </w:p>
        </w:tc>
        <w:tc>
          <w:tcPr>
            <w:tcW w:w="2028" w:type="dxa"/>
            <w:vAlign w:val="bottom"/>
            <w:hideMark/>
          </w:tcPr>
          <w:p w14:paraId="5ABCA49D" w14:textId="1F48E474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780 0</w:t>
            </w:r>
            <w:r w:rsidRPr="00700F81">
              <w:rPr>
                <w:rFonts w:cs="Calibri"/>
                <w:color w:val="000000"/>
              </w:rPr>
              <w:t>00</w:t>
            </w:r>
          </w:p>
        </w:tc>
      </w:tr>
      <w:tr w:rsidR="00B616C9" w:rsidRPr="0037227C" w14:paraId="0433FC6A" w14:textId="77777777" w:rsidTr="00FC0525">
        <w:trPr>
          <w:trHeight w:val="290"/>
        </w:trPr>
        <w:tc>
          <w:tcPr>
            <w:tcW w:w="2028" w:type="dxa"/>
            <w:vAlign w:val="center"/>
            <w:hideMark/>
          </w:tcPr>
          <w:p w14:paraId="3EE40F61" w14:textId="6871878F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10</w:t>
            </w:r>
          </w:p>
        </w:tc>
        <w:tc>
          <w:tcPr>
            <w:tcW w:w="3871" w:type="dxa"/>
            <w:vAlign w:val="center"/>
            <w:hideMark/>
          </w:tcPr>
          <w:p w14:paraId="4E2EE2BD" w14:textId="1D12C637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77BD5914" w14:textId="780F35CD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67 000</w:t>
            </w:r>
          </w:p>
        </w:tc>
        <w:tc>
          <w:tcPr>
            <w:tcW w:w="2028" w:type="dxa"/>
            <w:vAlign w:val="bottom"/>
            <w:hideMark/>
          </w:tcPr>
          <w:p w14:paraId="360F4E1A" w14:textId="7FA6BC63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670 000</w:t>
            </w:r>
          </w:p>
        </w:tc>
      </w:tr>
      <w:tr w:rsidR="00B616C9" w:rsidRPr="0037227C" w14:paraId="58FE00FD" w14:textId="77777777" w:rsidTr="00FC0525">
        <w:trPr>
          <w:trHeight w:val="290"/>
        </w:trPr>
        <w:tc>
          <w:tcPr>
            <w:tcW w:w="2028" w:type="dxa"/>
            <w:vAlign w:val="center"/>
          </w:tcPr>
          <w:p w14:paraId="162675F9" w14:textId="29A74007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25</w:t>
            </w:r>
          </w:p>
        </w:tc>
        <w:tc>
          <w:tcPr>
            <w:tcW w:w="3871" w:type="dxa"/>
            <w:vAlign w:val="center"/>
          </w:tcPr>
          <w:p w14:paraId="5C8880BC" w14:textId="6DA0F1FD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25,00</w:t>
            </w:r>
          </w:p>
        </w:tc>
        <w:tc>
          <w:tcPr>
            <w:tcW w:w="1702" w:type="dxa"/>
            <w:noWrap/>
            <w:vAlign w:val="bottom"/>
          </w:tcPr>
          <w:p w14:paraId="7BBF9DBC" w14:textId="3B3DF742" w:rsidR="00B616C9" w:rsidRPr="0019146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21 000</w:t>
            </w:r>
          </w:p>
        </w:tc>
        <w:tc>
          <w:tcPr>
            <w:tcW w:w="2028" w:type="dxa"/>
            <w:vAlign w:val="bottom"/>
          </w:tcPr>
          <w:p w14:paraId="011335A7" w14:textId="5BF7F8B2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525 000</w:t>
            </w:r>
          </w:p>
        </w:tc>
      </w:tr>
      <w:tr w:rsidR="00B616C9" w:rsidRPr="0037227C" w14:paraId="1D3480A7" w14:textId="77777777" w:rsidTr="00FC0525">
        <w:trPr>
          <w:trHeight w:val="290"/>
        </w:trPr>
        <w:tc>
          <w:tcPr>
            <w:tcW w:w="2028" w:type="dxa"/>
            <w:vAlign w:val="center"/>
            <w:hideMark/>
          </w:tcPr>
          <w:p w14:paraId="59670E20" w14:textId="27126210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50</w:t>
            </w:r>
          </w:p>
        </w:tc>
        <w:tc>
          <w:tcPr>
            <w:tcW w:w="3871" w:type="dxa"/>
            <w:vAlign w:val="center"/>
            <w:hideMark/>
          </w:tcPr>
          <w:p w14:paraId="6195D47D" w14:textId="0CB97C8C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50,00</w:t>
            </w:r>
          </w:p>
        </w:tc>
        <w:tc>
          <w:tcPr>
            <w:tcW w:w="1702" w:type="dxa"/>
            <w:noWrap/>
            <w:vAlign w:val="bottom"/>
            <w:hideMark/>
          </w:tcPr>
          <w:p w14:paraId="4C05AAB5" w14:textId="697A99DA" w:rsidR="00B616C9" w:rsidRPr="0019146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10 000</w:t>
            </w:r>
          </w:p>
        </w:tc>
        <w:tc>
          <w:tcPr>
            <w:tcW w:w="2028" w:type="dxa"/>
            <w:vAlign w:val="bottom"/>
            <w:hideMark/>
          </w:tcPr>
          <w:p w14:paraId="1072BFCB" w14:textId="3858B3C3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500 000</w:t>
            </w:r>
          </w:p>
        </w:tc>
      </w:tr>
      <w:tr w:rsidR="00B616C9" w:rsidRPr="0037227C" w14:paraId="05675B0A" w14:textId="77777777" w:rsidTr="00FC0525">
        <w:trPr>
          <w:trHeight w:val="290"/>
        </w:trPr>
        <w:tc>
          <w:tcPr>
            <w:tcW w:w="2028" w:type="dxa"/>
            <w:vAlign w:val="center"/>
            <w:hideMark/>
          </w:tcPr>
          <w:p w14:paraId="02383919" w14:textId="7B3B042B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100</w:t>
            </w:r>
          </w:p>
        </w:tc>
        <w:tc>
          <w:tcPr>
            <w:tcW w:w="3871" w:type="dxa"/>
            <w:vAlign w:val="center"/>
            <w:hideMark/>
          </w:tcPr>
          <w:p w14:paraId="41F330ED" w14:textId="23F639D9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100,00</w:t>
            </w:r>
          </w:p>
        </w:tc>
        <w:tc>
          <w:tcPr>
            <w:tcW w:w="1702" w:type="dxa"/>
            <w:noWrap/>
            <w:vAlign w:val="bottom"/>
            <w:hideMark/>
          </w:tcPr>
          <w:p w14:paraId="29A8BA76" w14:textId="3C51E077" w:rsidR="00B616C9" w:rsidRPr="0019146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5 190</w:t>
            </w:r>
          </w:p>
        </w:tc>
        <w:tc>
          <w:tcPr>
            <w:tcW w:w="2028" w:type="dxa"/>
            <w:vAlign w:val="bottom"/>
            <w:hideMark/>
          </w:tcPr>
          <w:p w14:paraId="4905FA7D" w14:textId="7333C78F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519 000</w:t>
            </w:r>
          </w:p>
        </w:tc>
      </w:tr>
      <w:tr w:rsidR="00B616C9" w:rsidRPr="0037227C" w14:paraId="224FD161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691C4900" w14:textId="396C7FA3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2 500</w:t>
            </w:r>
          </w:p>
        </w:tc>
        <w:tc>
          <w:tcPr>
            <w:tcW w:w="3871" w:type="dxa"/>
            <w:vAlign w:val="bottom"/>
            <w:hideMark/>
          </w:tcPr>
          <w:p w14:paraId="7D2971F1" w14:textId="70729420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2 300,30</w:t>
            </w:r>
          </w:p>
        </w:tc>
        <w:tc>
          <w:tcPr>
            <w:tcW w:w="1702" w:type="dxa"/>
            <w:noWrap/>
            <w:vAlign w:val="bottom"/>
            <w:hideMark/>
          </w:tcPr>
          <w:p w14:paraId="3A052ECD" w14:textId="62A36250" w:rsidR="00B616C9" w:rsidRPr="0019146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t>70</w:t>
            </w:r>
          </w:p>
        </w:tc>
        <w:tc>
          <w:tcPr>
            <w:tcW w:w="2028" w:type="dxa"/>
            <w:vAlign w:val="bottom"/>
            <w:hideMark/>
          </w:tcPr>
          <w:p w14:paraId="73E138E0" w14:textId="5797662B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175 000</w:t>
            </w:r>
          </w:p>
        </w:tc>
      </w:tr>
      <w:tr w:rsidR="00B616C9" w:rsidRPr="0037227C" w14:paraId="2AFE4C06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6B202E35" w14:textId="761F0223" w:rsidR="00B616C9" w:rsidRPr="0019146D" w:rsidRDefault="00B616C9" w:rsidP="00B616C9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t>25 000</w:t>
            </w:r>
          </w:p>
        </w:tc>
        <w:tc>
          <w:tcPr>
            <w:tcW w:w="3871" w:type="dxa"/>
            <w:vAlign w:val="bottom"/>
            <w:hideMark/>
          </w:tcPr>
          <w:p w14:paraId="4C999B64" w14:textId="461F2965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lang w:val="az-Latn-AZ"/>
              </w:rPr>
              <w:t>22 550,30</w:t>
            </w:r>
          </w:p>
        </w:tc>
        <w:tc>
          <w:tcPr>
            <w:tcW w:w="1702" w:type="dxa"/>
            <w:noWrap/>
            <w:vAlign w:val="bottom"/>
            <w:hideMark/>
          </w:tcPr>
          <w:p w14:paraId="3BEB3A26" w14:textId="42B20D1B" w:rsidR="00B616C9" w:rsidRPr="00943F58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028" w:type="dxa"/>
            <w:vAlign w:val="bottom"/>
            <w:hideMark/>
          </w:tcPr>
          <w:p w14:paraId="4A229015" w14:textId="73E617EB" w:rsidR="00B616C9" w:rsidRPr="001B4B4D" w:rsidRDefault="00B616C9" w:rsidP="00B616C9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75 000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74665ADC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92C45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B616C9">
        <w:rPr>
          <w:rFonts w:ascii="Arial" w:hAnsi="Arial" w:cs="Arial"/>
          <w:sz w:val="28"/>
          <w:szCs w:val="28"/>
          <w:lang w:val="en-US"/>
        </w:rPr>
        <w:t>2</w:t>
      </w:r>
      <w:r w:rsidR="00943F58">
        <w:rPr>
          <w:rFonts w:ascii="Arial" w:hAnsi="Arial" w:cs="Arial"/>
          <w:sz w:val="28"/>
          <w:szCs w:val="28"/>
          <w:lang w:val="en-US"/>
        </w:rPr>
        <w:t xml:space="preserve"> 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00 000 ədəddir. Uduşlu biletlərin sayı – </w:t>
      </w:r>
      <w:r w:rsidR="00B616C9">
        <w:rPr>
          <w:rFonts w:ascii="Arial" w:hAnsi="Arial" w:cs="Arial"/>
          <w:sz w:val="28"/>
          <w:szCs w:val="28"/>
          <w:lang w:val="en-US"/>
        </w:rPr>
        <w:t>512 263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B616C9">
        <w:rPr>
          <w:rFonts w:ascii="Arial" w:hAnsi="Arial" w:cs="Arial"/>
          <w:sz w:val="28"/>
          <w:szCs w:val="28"/>
          <w:lang w:val="en-US"/>
        </w:rPr>
        <w:t>4</w:t>
      </w:r>
      <w:r w:rsidR="00943F58">
        <w:rPr>
          <w:rFonts w:ascii="Arial" w:hAnsi="Arial" w:cs="Arial"/>
          <w:sz w:val="28"/>
          <w:szCs w:val="28"/>
          <w:lang w:val="en-US"/>
        </w:rPr>
        <w:t xml:space="preserve"> </w:t>
      </w:r>
      <w:r w:rsidR="00B616C9">
        <w:rPr>
          <w:rFonts w:ascii="Arial" w:hAnsi="Arial" w:cs="Arial"/>
          <w:sz w:val="28"/>
          <w:szCs w:val="28"/>
          <w:lang w:val="en-US"/>
        </w:rPr>
        <w:t>0</w:t>
      </w:r>
      <w:r w:rsidR="0019146D">
        <w:rPr>
          <w:rFonts w:ascii="Arial" w:hAnsi="Arial" w:cs="Arial"/>
          <w:sz w:val="28"/>
          <w:szCs w:val="28"/>
          <w:lang w:val="en-US"/>
        </w:rPr>
        <w:t>0</w:t>
      </w:r>
      <w:r w:rsidR="00B616C9">
        <w:rPr>
          <w:rFonts w:ascii="Arial" w:hAnsi="Arial" w:cs="Arial"/>
          <w:sz w:val="28"/>
          <w:szCs w:val="28"/>
          <w:lang w:val="en-US"/>
        </w:rPr>
        <w:t>3</w:t>
      </w:r>
      <w:r w:rsidR="0019146D">
        <w:rPr>
          <w:rFonts w:ascii="Arial" w:hAnsi="Arial" w:cs="Arial"/>
          <w:sz w:val="28"/>
          <w:szCs w:val="28"/>
          <w:lang w:val="en-US"/>
        </w:rPr>
        <w:t xml:space="preserve"> </w:t>
      </w:r>
      <w:r w:rsidR="00B616C9">
        <w:rPr>
          <w:rFonts w:ascii="Arial" w:hAnsi="Arial" w:cs="Arial"/>
          <w:sz w:val="28"/>
          <w:szCs w:val="28"/>
          <w:lang w:val="en-US"/>
        </w:rPr>
        <w:t>0</w:t>
      </w:r>
      <w:r w:rsidR="0019146D">
        <w:rPr>
          <w:rFonts w:ascii="Arial" w:hAnsi="Arial" w:cs="Arial"/>
          <w:sz w:val="28"/>
          <w:szCs w:val="28"/>
          <w:lang w:val="en-US"/>
        </w:rPr>
        <w:t>00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EC2B00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B616C9">
        <w:rPr>
          <w:rFonts w:ascii="Arial" w:hAnsi="Arial" w:cs="Arial"/>
          <w:sz w:val="28"/>
          <w:szCs w:val="28"/>
          <w:lang w:val="en-US"/>
        </w:rPr>
        <w:t>72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5F112363" w:rsidR="00F8361E" w:rsidRPr="00D86DBE" w:rsidRDefault="0019394C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BC4CA5">
        <w:rPr>
          <w:rFonts w:ascii="Arial" w:hAnsi="Arial" w:cs="Arial"/>
          <w:sz w:val="28"/>
          <w:szCs w:val="28"/>
          <w:lang w:val="az-Latn-AZ"/>
        </w:rPr>
        <w:t>Qış naxışı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”</w:t>
      </w:r>
      <w:r w:rsidR="00A35721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ani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6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7A430A33" w:rsidR="00F8361E" w:rsidRDefault="0019394C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09A5F3A1" w:rsidR="00A0176F" w:rsidRDefault="0019394C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7536A40F" w:rsidR="009B6915" w:rsidRDefault="0019394C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3C4F67E2" w14:textId="77777777" w:rsidR="00EC2B00" w:rsidRDefault="00EC2B00" w:rsidP="000B1813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p w14:paraId="3B015CE1" w14:textId="21572C20" w:rsidR="00EC2B00" w:rsidRDefault="00F52161" w:rsidP="0097153C">
      <w:pPr>
        <w:pStyle w:val="1"/>
        <w:spacing w:line="360" w:lineRule="auto"/>
        <w:contextualSpacing w:val="0"/>
        <w:jc w:val="center"/>
        <w:rPr>
          <w:lang w:val="az-Latn-AZ"/>
        </w:rPr>
      </w:pPr>
      <w:r>
        <w:rPr>
          <w:noProof/>
        </w:rPr>
        <w:drawing>
          <wp:inline distT="0" distB="0" distL="0" distR="0" wp14:anchorId="53654AFC" wp14:editId="1C3EA2B8">
            <wp:extent cx="2127250" cy="2394633"/>
            <wp:effectExtent l="0" t="0" r="6350" b="5715"/>
            <wp:docPr id="1565030192" name="Picture 1" descr="A poster with text and imag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30192" name="Picture 1" descr="A poster with text and images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36" cy="240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CA5" w:rsidRPr="00F52161">
        <w:rPr>
          <w:lang w:val="az-Latn-AZ"/>
        </w:rPr>
        <w:t xml:space="preserve"> </w:t>
      </w:r>
      <w:r w:rsidR="00BC4CA5">
        <w:rPr>
          <w:noProof/>
        </w:rPr>
        <w:drawing>
          <wp:inline distT="0" distB="0" distL="0" distR="0" wp14:anchorId="4C5AEF3D" wp14:editId="27239CAF">
            <wp:extent cx="2130523" cy="2393950"/>
            <wp:effectExtent l="0" t="0" r="3175" b="6350"/>
            <wp:docPr id="473135838" name="Picture 1" descr="A black and white label with numbers and a bar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35838" name="Picture 1" descr="A black and white label with numbers and a bar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01" cy="240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8FB48" w14:textId="77777777" w:rsidR="000B1813" w:rsidRDefault="000B1813" w:rsidP="0097153C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5BA26401" w14:textId="5CF110F0" w:rsidR="000B1813" w:rsidRPr="00536CB4" w:rsidRDefault="000B1813" w:rsidP="000B1813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  <w:r w:rsidRPr="00536CB4"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</w:t>
      </w:r>
      <w:r>
        <w:rPr>
          <w:rFonts w:ascii="Arial" w:hAnsi="Arial" w:cs="Arial"/>
          <w:sz w:val="28"/>
          <w:szCs w:val="28"/>
          <w:lang w:val="az-Latn-AZ"/>
        </w:rPr>
        <w:t>335</w:t>
      </w:r>
      <w:r w:rsidRPr="00536CB4">
        <w:rPr>
          <w:rFonts w:ascii="Arial" w:hAnsi="Arial" w:cs="Arial"/>
          <w:sz w:val="28"/>
          <w:szCs w:val="28"/>
          <w:lang w:val="az-Latn-AZ"/>
        </w:rPr>
        <w:t xml:space="preserve"> / </w:t>
      </w:r>
      <w:r>
        <w:rPr>
          <w:rFonts w:ascii="Arial" w:hAnsi="Arial" w:cs="Arial"/>
          <w:sz w:val="28"/>
          <w:szCs w:val="28"/>
          <w:lang w:val="az-Latn-AZ"/>
        </w:rPr>
        <w:t>10</w:t>
      </w:r>
      <w:r w:rsidRPr="00536CB4"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06</w:t>
      </w:r>
      <w:r w:rsidRPr="00536CB4"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5</w:t>
      </w:r>
    </w:p>
    <w:p w14:paraId="6E3E0067" w14:textId="77777777" w:rsidR="000B1813" w:rsidRPr="00927E6E" w:rsidRDefault="000B1813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</w:p>
    <w:sectPr w:rsidR="000B1813" w:rsidRPr="00927E6E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18.5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DF3325"/>
    <w:multiLevelType w:val="hybridMultilevel"/>
    <w:tmpl w:val="8044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5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  <w:num w:numId="6" w16cid:durableId="137084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B1813"/>
    <w:rsid w:val="000B73E7"/>
    <w:rsid w:val="000D1252"/>
    <w:rsid w:val="000E4BA3"/>
    <w:rsid w:val="000F3AB6"/>
    <w:rsid w:val="001037FF"/>
    <w:rsid w:val="001517FE"/>
    <w:rsid w:val="001739A5"/>
    <w:rsid w:val="0019146D"/>
    <w:rsid w:val="0019394C"/>
    <w:rsid w:val="001B4B4D"/>
    <w:rsid w:val="002507CD"/>
    <w:rsid w:val="00283B87"/>
    <w:rsid w:val="002842FE"/>
    <w:rsid w:val="002F0A43"/>
    <w:rsid w:val="00313090"/>
    <w:rsid w:val="00335401"/>
    <w:rsid w:val="00350528"/>
    <w:rsid w:val="0037227C"/>
    <w:rsid w:val="00382065"/>
    <w:rsid w:val="00397642"/>
    <w:rsid w:val="00453DA3"/>
    <w:rsid w:val="00455976"/>
    <w:rsid w:val="00495D3E"/>
    <w:rsid w:val="004E587E"/>
    <w:rsid w:val="00530AF3"/>
    <w:rsid w:val="0054434D"/>
    <w:rsid w:val="005755D9"/>
    <w:rsid w:val="00613E70"/>
    <w:rsid w:val="00625C28"/>
    <w:rsid w:val="006401E1"/>
    <w:rsid w:val="00654E3B"/>
    <w:rsid w:val="006F10C2"/>
    <w:rsid w:val="006F5259"/>
    <w:rsid w:val="00706358"/>
    <w:rsid w:val="0072146C"/>
    <w:rsid w:val="00730F75"/>
    <w:rsid w:val="007379BE"/>
    <w:rsid w:val="007A32CA"/>
    <w:rsid w:val="007F2903"/>
    <w:rsid w:val="0081434D"/>
    <w:rsid w:val="008152D3"/>
    <w:rsid w:val="00832414"/>
    <w:rsid w:val="00890842"/>
    <w:rsid w:val="008D2E56"/>
    <w:rsid w:val="008F7258"/>
    <w:rsid w:val="00904E5F"/>
    <w:rsid w:val="009122FC"/>
    <w:rsid w:val="00921D6F"/>
    <w:rsid w:val="00927E6E"/>
    <w:rsid w:val="00943F58"/>
    <w:rsid w:val="00960C45"/>
    <w:rsid w:val="0097153C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5721"/>
    <w:rsid w:val="00A36BC1"/>
    <w:rsid w:val="00A40C0D"/>
    <w:rsid w:val="00A916DC"/>
    <w:rsid w:val="00AA6E3B"/>
    <w:rsid w:val="00AD40BD"/>
    <w:rsid w:val="00AE499E"/>
    <w:rsid w:val="00B15A02"/>
    <w:rsid w:val="00B26876"/>
    <w:rsid w:val="00B27695"/>
    <w:rsid w:val="00B46ABB"/>
    <w:rsid w:val="00B5181C"/>
    <w:rsid w:val="00B616C9"/>
    <w:rsid w:val="00B6287A"/>
    <w:rsid w:val="00B86ADD"/>
    <w:rsid w:val="00B92C45"/>
    <w:rsid w:val="00BB27C3"/>
    <w:rsid w:val="00BC2503"/>
    <w:rsid w:val="00BC4CA5"/>
    <w:rsid w:val="00BD6F0F"/>
    <w:rsid w:val="00BF0F8F"/>
    <w:rsid w:val="00C15D43"/>
    <w:rsid w:val="00C372D5"/>
    <w:rsid w:val="00C4686A"/>
    <w:rsid w:val="00CA2816"/>
    <w:rsid w:val="00CE6C27"/>
    <w:rsid w:val="00DC4037"/>
    <w:rsid w:val="00DD5CD9"/>
    <w:rsid w:val="00DF0780"/>
    <w:rsid w:val="00DF23F3"/>
    <w:rsid w:val="00EB46DB"/>
    <w:rsid w:val="00EC2B00"/>
    <w:rsid w:val="00F200A9"/>
    <w:rsid w:val="00F45474"/>
    <w:rsid w:val="00F52161"/>
    <w:rsid w:val="00F70847"/>
    <w:rsid w:val="00F8361E"/>
    <w:rsid w:val="00F83E32"/>
    <w:rsid w:val="00FC6279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rlotereya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355</Words>
  <Characters>2003</Characters>
  <Application>Microsoft Office Word</Application>
  <DocSecurity>0</DocSecurity>
  <Lines>91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22</cp:revision>
  <cp:lastPrinted>2024-11-29T11:26:00Z</cp:lastPrinted>
  <dcterms:created xsi:type="dcterms:W3CDTF">2024-11-28T12:33:00Z</dcterms:created>
  <dcterms:modified xsi:type="dcterms:W3CDTF">2026-04-20T05:30:00Z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