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60CA" w14:textId="0545BCC7" w:rsidR="00536CB4" w:rsidRPr="0025607A" w:rsidRDefault="00536CB4" w:rsidP="00536CB4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 xml:space="preserve">“Tap, Qazan! </w:t>
      </w:r>
      <w:r>
        <w:rPr>
          <w:rFonts w:ascii="Arial" w:hAnsi="Arial" w:cs="Arial"/>
          <w:b/>
          <w:sz w:val="36"/>
          <w:lang w:val="az-Latn-AZ"/>
        </w:rPr>
        <w:t>2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70A6F255" w14:textId="77777777" w:rsidR="00536CB4" w:rsidRPr="0025607A" w:rsidRDefault="00536CB4" w:rsidP="00536CB4">
      <w:pPr>
        <w:pStyle w:val="Normal1"/>
        <w:rPr>
          <w:rFonts w:ascii="Arial" w:hAnsi="Arial" w:cs="Arial"/>
          <w:lang w:val="az-Latn-AZ"/>
        </w:rPr>
      </w:pPr>
    </w:p>
    <w:p w14:paraId="4FAB959F" w14:textId="77777777" w:rsidR="00536CB4" w:rsidRPr="0025607A" w:rsidRDefault="00536CB4" w:rsidP="00536CB4">
      <w:pPr>
        <w:pStyle w:val="Normal1"/>
        <w:rPr>
          <w:rFonts w:ascii="Arial" w:hAnsi="Arial" w:cs="Arial"/>
          <w:lang w:val="az-Latn-AZ"/>
        </w:rPr>
      </w:pPr>
    </w:p>
    <w:p w14:paraId="0497E096" w14:textId="77777777" w:rsidR="00536CB4" w:rsidRPr="0025607A" w:rsidRDefault="00536CB4" w:rsidP="00536CB4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294DE903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>
        <w:rPr>
          <w:rFonts w:ascii="Arial" w:hAnsi="Arial" w:cs="Arial"/>
          <w:sz w:val="28"/>
          <w:szCs w:val="28"/>
          <w:lang w:val="en-US"/>
        </w:rPr>
        <w:t>“</w:t>
      </w:r>
      <w:r w:rsidR="000D1009">
        <w:rPr>
          <w:rFonts w:ascii="Arial" w:hAnsi="Arial" w:cs="Arial"/>
          <w:sz w:val="28"/>
          <w:szCs w:val="28"/>
          <w:lang w:val="en-US"/>
        </w:rPr>
        <w:t>Tap, Qazan!</w:t>
      </w:r>
      <w:r w:rsidR="00A0262B">
        <w:rPr>
          <w:rFonts w:ascii="Arial" w:hAnsi="Arial" w:cs="Arial"/>
          <w:sz w:val="28"/>
          <w:szCs w:val="28"/>
          <w:lang w:val="en-US"/>
        </w:rPr>
        <w:t xml:space="preserve"> 2</w:t>
      </w:r>
      <w:r w:rsidR="006F10C2">
        <w:rPr>
          <w:rFonts w:ascii="Arial" w:hAnsi="Arial" w:cs="Arial"/>
          <w:sz w:val="28"/>
          <w:szCs w:val="28"/>
          <w:lang w:val="en-US"/>
        </w:rPr>
        <w:t>” ani lotereya biletinin qiyməti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0D1009"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r w:rsidR="00A444BA">
        <w:rPr>
          <w:rFonts w:ascii="Arial" w:hAnsi="Arial" w:cs="Arial"/>
          <w:sz w:val="28"/>
          <w:szCs w:val="28"/>
          <w:lang w:val="en-US"/>
        </w:rPr>
        <w:t>bir</w:t>
      </w:r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34AD61A4" w:rsidR="0054434D" w:rsidRPr="00D86DBE" w:rsidRDefault="00536CB4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D86DBE">
        <w:rPr>
          <w:rFonts w:ascii="Arial" w:hAnsi="Arial" w:cs="Arial"/>
          <w:sz w:val="28"/>
          <w:szCs w:val="28"/>
          <w:lang w:val="en-US"/>
        </w:rPr>
        <w:t>“</w:t>
      </w:r>
      <w:r w:rsidR="000D1009">
        <w:rPr>
          <w:rFonts w:ascii="Arial" w:hAnsi="Arial" w:cs="Arial"/>
          <w:sz w:val="28"/>
          <w:szCs w:val="28"/>
          <w:lang w:val="en-US"/>
        </w:rPr>
        <w:t>Tap, Qazan!</w:t>
      </w:r>
      <w:r w:rsidR="00A0262B">
        <w:rPr>
          <w:rFonts w:ascii="Arial" w:hAnsi="Arial" w:cs="Arial"/>
          <w:sz w:val="28"/>
          <w:szCs w:val="28"/>
          <w:lang w:val="en-US"/>
        </w:rPr>
        <w:t xml:space="preserve"> 2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lotereyasının qüvvədə olan </w:t>
      </w:r>
      <w:r w:rsidR="0054434D" w:rsidRPr="005804E5">
        <w:rPr>
          <w:rFonts w:ascii="Arial" w:hAnsi="Arial" w:cs="Arial"/>
          <w:sz w:val="28"/>
          <w:szCs w:val="28"/>
          <w:lang w:val="en-US"/>
        </w:rPr>
        <w:t xml:space="preserve">müddəti: </w:t>
      </w:r>
      <w:r w:rsidR="0025607A">
        <w:rPr>
          <w:rFonts w:ascii="Arial" w:hAnsi="Arial" w:cs="Arial"/>
          <w:sz w:val="28"/>
          <w:szCs w:val="28"/>
          <w:lang w:val="en-US"/>
        </w:rPr>
        <w:t>10 yanvar</w:t>
      </w:r>
      <w:r w:rsidR="0054434D" w:rsidRPr="002A6F6B">
        <w:rPr>
          <w:rFonts w:ascii="Arial" w:hAnsi="Arial" w:cs="Arial"/>
          <w:sz w:val="28"/>
          <w:szCs w:val="28"/>
          <w:lang w:val="en-US"/>
        </w:rPr>
        <w:t xml:space="preserve"> 2022-ci il –</w:t>
      </w:r>
      <w:r w:rsidR="0054434D" w:rsidRPr="002A6F6B"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1 fevral</w:t>
      </w:r>
      <w:r w:rsidR="00F60C23" w:rsidRPr="0025607A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25607A">
        <w:rPr>
          <w:rFonts w:ascii="Arial" w:hAnsi="Arial" w:cs="Arial"/>
          <w:sz w:val="28"/>
          <w:szCs w:val="28"/>
          <w:lang w:val="en-US"/>
        </w:rPr>
        <w:t>202</w:t>
      </w:r>
      <w:r>
        <w:rPr>
          <w:rFonts w:ascii="Arial" w:hAnsi="Arial" w:cs="Arial"/>
          <w:sz w:val="28"/>
          <w:szCs w:val="28"/>
          <w:lang w:val="en-US"/>
        </w:rPr>
        <w:t>7</w:t>
      </w:r>
      <w:r w:rsidR="0054434D" w:rsidRPr="0025607A">
        <w:rPr>
          <w:rFonts w:ascii="Arial" w:hAnsi="Arial" w:cs="Arial"/>
          <w:sz w:val="28"/>
          <w:szCs w:val="28"/>
          <w:lang w:val="en-US"/>
        </w:rPr>
        <w:t>-c</w:t>
      </w:r>
      <w:r w:rsidR="0025607A" w:rsidRPr="0025607A">
        <w:rPr>
          <w:rFonts w:ascii="Arial" w:hAnsi="Arial" w:cs="Arial"/>
          <w:sz w:val="28"/>
          <w:szCs w:val="28"/>
          <w:lang w:val="en-US"/>
        </w:rPr>
        <w:t>i</w:t>
      </w:r>
      <w:r w:rsidR="0054434D" w:rsidRPr="0025607A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581CB9C3" w:rsidR="00B5181C" w:rsidRPr="00B5181C" w:rsidRDefault="00536CB4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51B033CF" w14:textId="26F64AC8" w:rsidR="000D1009" w:rsidRPr="0059707C" w:rsidRDefault="000D1009" w:rsidP="000D100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59707C">
        <w:rPr>
          <w:rFonts w:ascii="Arial" w:hAnsi="Arial" w:cs="Arial"/>
          <w:sz w:val="28"/>
          <w:szCs w:val="28"/>
          <w:lang w:val="az-Latn-AZ"/>
        </w:rPr>
        <w:t>Lotereya biletinin üzərində əks olunan "üstüörtülü" "</w:t>
      </w:r>
      <w:r>
        <w:rPr>
          <w:rFonts w:ascii="Arial" w:hAnsi="Arial" w:cs="Arial"/>
          <w:sz w:val="28"/>
          <w:szCs w:val="28"/>
          <w:lang w:val="az-Latn-AZ"/>
        </w:rPr>
        <w:t>U</w:t>
      </w:r>
      <w:r w:rsidR="00A0262B">
        <w:rPr>
          <w:rFonts w:ascii="Arial" w:hAnsi="Arial" w:cs="Arial"/>
          <w:sz w:val="28"/>
          <w:szCs w:val="28"/>
          <w:lang w:val="az-Latn-AZ"/>
        </w:rPr>
        <w:t>DUŞLU RƏQƏM</w:t>
      </w:r>
      <w:r w:rsidRPr="0059707C">
        <w:rPr>
          <w:rFonts w:ascii="Arial" w:hAnsi="Arial" w:cs="Arial"/>
          <w:sz w:val="28"/>
          <w:szCs w:val="28"/>
          <w:lang w:val="az-Latn-AZ"/>
        </w:rPr>
        <w:t>" və “</w:t>
      </w:r>
      <w:r>
        <w:rPr>
          <w:rFonts w:ascii="Arial" w:hAnsi="Arial" w:cs="Arial"/>
          <w:sz w:val="28"/>
          <w:szCs w:val="28"/>
          <w:lang w:val="az-Latn-AZ"/>
        </w:rPr>
        <w:t>R</w:t>
      </w:r>
      <w:r w:rsidR="00A0262B">
        <w:rPr>
          <w:rFonts w:ascii="Arial" w:hAnsi="Arial" w:cs="Arial"/>
          <w:sz w:val="28"/>
          <w:szCs w:val="28"/>
          <w:lang w:val="az-Latn-AZ"/>
        </w:rPr>
        <w:t>ƏQƏMLƏRİNİZ</w:t>
      </w:r>
      <w:r w:rsidRPr="0059707C">
        <w:rPr>
          <w:rFonts w:ascii="Arial" w:hAnsi="Arial" w:cs="Arial"/>
          <w:sz w:val="28"/>
          <w:szCs w:val="28"/>
          <w:lang w:val="az-Latn-AZ"/>
        </w:rPr>
        <w:t>” lövhəsindəki oyun xanalarının qoruyucu səthlərini pozduqdan sonra "</w:t>
      </w:r>
      <w:r w:rsidR="005C24CC">
        <w:rPr>
          <w:rFonts w:ascii="Arial" w:hAnsi="Arial" w:cs="Arial"/>
          <w:sz w:val="28"/>
          <w:szCs w:val="28"/>
          <w:lang w:val="az-Latn-AZ"/>
        </w:rPr>
        <w:t>UDUŞLU RƏQƏM</w:t>
      </w:r>
      <w:r w:rsidRPr="0059707C">
        <w:rPr>
          <w:rFonts w:ascii="Arial" w:hAnsi="Arial" w:cs="Arial"/>
          <w:sz w:val="28"/>
          <w:szCs w:val="28"/>
          <w:lang w:val="az-Latn-AZ"/>
        </w:rPr>
        <w:t>" lövh</w:t>
      </w:r>
      <w:r>
        <w:rPr>
          <w:rFonts w:ascii="Arial" w:hAnsi="Arial" w:cs="Arial"/>
          <w:sz w:val="28"/>
          <w:szCs w:val="28"/>
          <w:lang w:val="az-Latn-AZ"/>
        </w:rPr>
        <w:t>ə</w:t>
      </w:r>
      <w:r w:rsidRPr="0059707C">
        <w:rPr>
          <w:rFonts w:ascii="Arial" w:hAnsi="Arial" w:cs="Arial"/>
          <w:sz w:val="28"/>
          <w:szCs w:val="28"/>
          <w:lang w:val="az-Latn-AZ"/>
        </w:rPr>
        <w:t>sində əks olunan rəqəm “</w:t>
      </w:r>
      <w:r>
        <w:rPr>
          <w:rFonts w:ascii="Arial" w:hAnsi="Arial" w:cs="Arial"/>
          <w:sz w:val="28"/>
          <w:szCs w:val="28"/>
          <w:lang w:val="az-Latn-AZ"/>
        </w:rPr>
        <w:t>R</w:t>
      </w:r>
      <w:r w:rsidR="00A0262B">
        <w:rPr>
          <w:rFonts w:ascii="Arial" w:hAnsi="Arial" w:cs="Arial"/>
          <w:sz w:val="28"/>
          <w:szCs w:val="28"/>
          <w:lang w:val="az-Latn-AZ"/>
        </w:rPr>
        <w:t>ƏQƏMLƏRİNİZ</w:t>
      </w:r>
      <w:r w:rsidRPr="0059707C">
        <w:rPr>
          <w:rFonts w:ascii="Arial" w:hAnsi="Arial" w:cs="Arial"/>
          <w:sz w:val="28"/>
          <w:szCs w:val="28"/>
          <w:lang w:val="az-Latn-AZ"/>
        </w:rPr>
        <w:t>” lövhəsində əks olunan rəqəmlərdən biri və ya bir neçəsi ilə üst</w:t>
      </w:r>
      <w:r>
        <w:rPr>
          <w:rFonts w:ascii="Arial" w:hAnsi="Arial" w:cs="Arial"/>
          <w:sz w:val="28"/>
          <w:szCs w:val="28"/>
          <w:lang w:val="az-Latn-AZ"/>
        </w:rPr>
        <w:t>-</w:t>
      </w:r>
      <w:r w:rsidRPr="0059707C">
        <w:rPr>
          <w:rFonts w:ascii="Arial" w:hAnsi="Arial" w:cs="Arial"/>
          <w:sz w:val="28"/>
          <w:szCs w:val="28"/>
          <w:lang w:val="az-Latn-AZ"/>
        </w:rPr>
        <w:t>üstə düşərsə</w:t>
      </w:r>
      <w:r w:rsidR="005C24CC">
        <w:rPr>
          <w:rFonts w:ascii="Arial" w:hAnsi="Arial" w:cs="Arial"/>
          <w:sz w:val="28"/>
          <w:szCs w:val="28"/>
          <w:lang w:val="az-Latn-AZ"/>
        </w:rPr>
        <w:t>,</w:t>
      </w:r>
      <w:r w:rsidRPr="0059707C">
        <w:rPr>
          <w:rFonts w:ascii="Arial" w:hAnsi="Arial" w:cs="Arial"/>
          <w:sz w:val="28"/>
          <w:szCs w:val="28"/>
          <w:lang w:val="az-Latn-AZ"/>
        </w:rPr>
        <w:t xml:space="preserve"> bilet uduşlu sayılır və uyğun uduşlu xananın (xanaların) altındakı məbləği (məbləğləri) qazanmış olur. </w:t>
      </w:r>
    </w:p>
    <w:p w14:paraId="6FC0789E" w14:textId="4F2B0DC7" w:rsidR="000D1009" w:rsidRPr="00196545" w:rsidRDefault="000D1009" w:rsidP="000D100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>“R</w:t>
      </w:r>
      <w:r w:rsidR="00A0262B">
        <w:rPr>
          <w:rFonts w:ascii="Arial" w:hAnsi="Arial" w:cs="Arial"/>
          <w:color w:val="000000"/>
          <w:sz w:val="28"/>
          <w:szCs w:val="28"/>
          <w:lang w:val="az-Latn-AZ"/>
        </w:rPr>
        <w:t>ƏQƏMLƏRİNİZ</w:t>
      </w: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>” lövhəsində olan rəqəmlərin “</w:t>
      </w:r>
      <w:r>
        <w:rPr>
          <w:rFonts w:ascii="Arial" w:hAnsi="Arial" w:cs="Arial"/>
          <w:color w:val="000000"/>
          <w:sz w:val="28"/>
          <w:szCs w:val="28"/>
          <w:lang w:val="az-Latn-AZ"/>
        </w:rPr>
        <w:t>U</w:t>
      </w:r>
      <w:r w:rsidR="00A0262B">
        <w:rPr>
          <w:rFonts w:ascii="Arial" w:hAnsi="Arial" w:cs="Arial"/>
          <w:color w:val="000000"/>
          <w:sz w:val="28"/>
          <w:szCs w:val="28"/>
          <w:lang w:val="az-Latn-AZ"/>
        </w:rPr>
        <w:t>DUŞLU RƏQƏM</w:t>
      </w: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 xml:space="preserve">” lövhəsində olan rəqəmlə uyğun olmayan hər hansı bir başqa kombinasiyası biletin uduşsuz olduğunu göstərir. </w:t>
      </w:r>
    </w:p>
    <w:p w14:paraId="45E03F3B" w14:textId="77777777" w:rsidR="000D1009" w:rsidRDefault="000D1009" w:rsidP="000D100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46E6A1C2" w14:textId="77777777" w:rsidR="000D1009" w:rsidRPr="00A0176F" w:rsidRDefault="000D1009" w:rsidP="000D1009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68C877" w14:textId="7795B270" w:rsidR="000D1009" w:rsidRPr="005C24CC" w:rsidRDefault="00536CB4" w:rsidP="000D10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3.1 </w:t>
      </w:r>
      <w:r w:rsidR="000D1009" w:rsidRPr="005C24C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871"/>
        <w:gridCol w:w="1702"/>
        <w:gridCol w:w="2028"/>
      </w:tblGrid>
      <w:tr w:rsidR="000D1009" w:rsidRPr="005C24CC" w14:paraId="5584A4E7" w14:textId="77777777" w:rsidTr="00BD6FBB">
        <w:trPr>
          <w:trHeight w:val="290"/>
        </w:trPr>
        <w:tc>
          <w:tcPr>
            <w:tcW w:w="2175" w:type="dxa"/>
            <w:shd w:val="clear" w:color="auto" w:fill="auto"/>
            <w:noWrap/>
            <w:hideMark/>
          </w:tcPr>
          <w:p w14:paraId="1FDF3953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51A6F28D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CB3FD6B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700D9E73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5C24CC" w:rsidRPr="005C24CC" w14:paraId="588CFE56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5CB706F6" w14:textId="7934FDC6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92EB6C" w14:textId="58C66A65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35E8931" w14:textId="62B3598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1 970 000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CC1F97D" w14:textId="4E29DEC3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1 970 000</w:t>
            </w:r>
          </w:p>
        </w:tc>
      </w:tr>
      <w:tr w:rsidR="005C24CC" w:rsidRPr="005C24CC" w14:paraId="2B71E422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405FF7C" w14:textId="23BDE76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2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271482" w14:textId="55FDC8A8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74A9E9D" w14:textId="3811188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1 550 000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4B3A946" w14:textId="1AF626E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3 100 000</w:t>
            </w:r>
          </w:p>
        </w:tc>
      </w:tr>
      <w:tr w:rsidR="005C24CC" w:rsidRPr="005C24CC" w14:paraId="12F3CE7B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4B49B003" w14:textId="58277F8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5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F23DC0" w14:textId="2CDAA579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5,00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37E6B6" w14:textId="492BCDD2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763 100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79AA68A" w14:textId="4C67B366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3 815 500</w:t>
            </w:r>
          </w:p>
        </w:tc>
      </w:tr>
      <w:tr w:rsidR="005C24CC" w:rsidRPr="005C24CC" w14:paraId="5A87C5F4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2E451010" w14:textId="3CD1F32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10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2A860550" w14:textId="611C1584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10,00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72869D2F" w14:textId="7328BB09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255 000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1490D16" w14:textId="128F5BF7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2 550 000</w:t>
            </w:r>
          </w:p>
        </w:tc>
      </w:tr>
      <w:tr w:rsidR="005C24CC" w:rsidRPr="005C24CC" w14:paraId="19F0E743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25C20DFD" w14:textId="2D44D752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20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9F6F6A" w14:textId="73A28AC8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F81FA72" w14:textId="17FB1FA0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50 000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8719F16" w14:textId="4463F36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1 000 000</w:t>
            </w:r>
          </w:p>
        </w:tc>
      </w:tr>
      <w:tr w:rsidR="005C24CC" w:rsidRPr="005C24CC" w14:paraId="31C27129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49E4A7C4" w14:textId="0901920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40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04ED68" w14:textId="50FA3CF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40,00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C149B81" w14:textId="16A5EBB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1 600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D9E6CD8" w14:textId="273DD3F4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64 000</w:t>
            </w:r>
          </w:p>
        </w:tc>
      </w:tr>
      <w:tr w:rsidR="005C24CC" w:rsidRPr="005C24CC" w14:paraId="77B6AC11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0B7C11CE" w14:textId="3314EDE0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100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C3D27F" w14:textId="3CE26A31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06F10A1" w14:textId="7CC86C3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1 400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FDDB6B1" w14:textId="4C04DDE1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140 000</w:t>
            </w:r>
          </w:p>
        </w:tc>
      </w:tr>
      <w:tr w:rsidR="005C24CC" w:rsidRPr="005C24CC" w14:paraId="769971EC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5F40D79" w14:textId="0D7D1DBA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1 000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6EB5BA30" w14:textId="18623D1A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950,10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CB4BE78" w14:textId="175C7C1D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CFBE553" w14:textId="1DCADEC3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10 000</w:t>
            </w:r>
          </w:p>
        </w:tc>
      </w:tr>
      <w:tr w:rsidR="005C24CC" w:rsidRPr="005C24CC" w14:paraId="2FA67492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77B46397" w14:textId="7EEBBAB2" w:rsidR="005C24CC" w:rsidRPr="005C24CC" w:rsidRDefault="005C24CC" w:rsidP="005C24CC">
            <w:pPr>
              <w:jc w:val="center"/>
            </w:pPr>
            <w:r w:rsidRPr="005C24CC">
              <w:t>25 000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5E5D979B" w14:textId="53750626" w:rsidR="005C24CC" w:rsidRPr="005C24CC" w:rsidRDefault="005C24CC" w:rsidP="005C24CC">
            <w:pPr>
              <w:jc w:val="center"/>
            </w:pPr>
            <w:r w:rsidRPr="005C24CC">
              <w:t>22 550,10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478E09F9" w14:textId="1BD032B5" w:rsidR="005C24CC" w:rsidRPr="005C24CC" w:rsidRDefault="005C24CC" w:rsidP="005C24CC">
            <w:pPr>
              <w:jc w:val="center"/>
            </w:pPr>
            <w:r w:rsidRPr="005C24CC">
              <w:t>2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F21682E" w14:textId="3A68FBCE" w:rsidR="005C24CC" w:rsidRPr="005C24CC" w:rsidRDefault="005C24CC" w:rsidP="005C24CC">
            <w:pPr>
              <w:jc w:val="center"/>
            </w:pPr>
            <w:r w:rsidRPr="005C24CC">
              <w:t>50 000</w:t>
            </w:r>
          </w:p>
        </w:tc>
      </w:tr>
    </w:tbl>
    <w:p w14:paraId="1FD2BFEF" w14:textId="77777777" w:rsidR="000D1009" w:rsidRPr="005C24C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31A04D2" w14:textId="4F51023E" w:rsidR="000D1009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5C24CC">
        <w:rPr>
          <w:rFonts w:ascii="Arial" w:hAnsi="Arial" w:cs="Arial"/>
          <w:sz w:val="28"/>
          <w:szCs w:val="28"/>
          <w:lang w:val="en-US"/>
        </w:rPr>
        <w:t>Satışa buraxılmış lotereya biletlərinin ümumi sayı – 20 0</w:t>
      </w:r>
      <w:r w:rsidR="00A0262B" w:rsidRPr="005C24CC">
        <w:rPr>
          <w:rFonts w:ascii="Arial" w:hAnsi="Arial" w:cs="Arial"/>
          <w:sz w:val="28"/>
          <w:szCs w:val="28"/>
          <w:lang w:val="en-US"/>
        </w:rPr>
        <w:t>0</w:t>
      </w:r>
      <w:r w:rsidRPr="005C24CC">
        <w:rPr>
          <w:rFonts w:ascii="Arial" w:hAnsi="Arial" w:cs="Arial"/>
          <w:sz w:val="28"/>
          <w:szCs w:val="28"/>
          <w:lang w:val="en-US"/>
        </w:rPr>
        <w:t>0 000 (iyirmi milyon iyirmi min) ədəddir. Uduşlu biletlərin sayı – 4 59</w:t>
      </w:r>
      <w:r w:rsidR="005C24CC" w:rsidRPr="005C24CC">
        <w:rPr>
          <w:rFonts w:ascii="Arial" w:hAnsi="Arial" w:cs="Arial"/>
          <w:sz w:val="28"/>
          <w:szCs w:val="28"/>
          <w:lang w:val="en-US"/>
        </w:rPr>
        <w:t>1</w:t>
      </w:r>
      <w:r w:rsidRPr="005C24CC">
        <w:rPr>
          <w:rFonts w:ascii="Arial" w:hAnsi="Arial" w:cs="Arial"/>
          <w:sz w:val="28"/>
          <w:szCs w:val="28"/>
          <w:lang w:val="en-US"/>
        </w:rPr>
        <w:t> </w:t>
      </w:r>
      <w:r w:rsidR="005C24CC" w:rsidRPr="005C24CC">
        <w:rPr>
          <w:rFonts w:ascii="Arial" w:hAnsi="Arial" w:cs="Arial"/>
          <w:sz w:val="28"/>
          <w:szCs w:val="28"/>
          <w:lang w:val="en-US"/>
        </w:rPr>
        <w:t>112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 (dörd milyon beş yüz </w:t>
      </w:r>
      <w:r w:rsidRPr="005C24CC">
        <w:rPr>
          <w:rFonts w:ascii="Arial" w:hAnsi="Arial" w:cs="Arial"/>
          <w:sz w:val="28"/>
          <w:szCs w:val="28"/>
          <w:lang w:val="en-US"/>
        </w:rPr>
        <w:lastRenderedPageBreak/>
        <w:t xml:space="preserve">doxsan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bir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 min yüz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on iki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) ədəd, uduş fondunun məbləği – 12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699</w:t>
      </w:r>
      <w:r w:rsidRPr="005C24CC">
        <w:rPr>
          <w:rFonts w:ascii="Arial" w:hAnsi="Arial" w:cs="Arial"/>
          <w:sz w:val="28"/>
          <w:szCs w:val="28"/>
          <w:lang w:val="en-US"/>
        </w:rPr>
        <w:t> </w:t>
      </w:r>
      <w:r w:rsidR="005C24CC" w:rsidRPr="005C24CC">
        <w:rPr>
          <w:rFonts w:ascii="Arial" w:hAnsi="Arial" w:cs="Arial"/>
          <w:sz w:val="28"/>
          <w:szCs w:val="28"/>
          <w:lang w:val="en-US"/>
        </w:rPr>
        <w:t>5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00 (on iki milyon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altı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 yüz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doxsan doqquz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 min </w:t>
      </w:r>
      <w:r w:rsidR="005C24CC" w:rsidRPr="005C24CC">
        <w:rPr>
          <w:rFonts w:ascii="Arial" w:hAnsi="Arial" w:cs="Arial"/>
          <w:sz w:val="28"/>
          <w:szCs w:val="28"/>
          <w:lang w:val="en-US"/>
        </w:rPr>
        <w:t>beş</w:t>
      </w:r>
      <w:r w:rsidRPr="005C24CC">
        <w:rPr>
          <w:rFonts w:ascii="Arial" w:hAnsi="Arial" w:cs="Arial"/>
          <w:sz w:val="28"/>
          <w:szCs w:val="28"/>
          <w:lang w:val="en-US"/>
        </w:rPr>
        <w:t xml:space="preserve"> yüz) manat (63,5%).</w:t>
      </w:r>
    </w:p>
    <w:p w14:paraId="75C7ABB1" w14:textId="4837D3B1" w:rsidR="00D62734" w:rsidRPr="00D86DBE" w:rsidRDefault="00D62734" w:rsidP="000D1009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4B38FBB8" w14:textId="1752EA33" w:rsidR="00F8361E" w:rsidRPr="00D86DBE" w:rsidRDefault="00536CB4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0D1009" w:rsidRPr="000D1009">
        <w:rPr>
          <w:rFonts w:ascii="Arial" w:hAnsi="Arial" w:cs="Arial"/>
          <w:sz w:val="28"/>
          <w:szCs w:val="28"/>
          <w:lang w:val="az-Latn-AZ"/>
        </w:rPr>
        <w:t xml:space="preserve"> Tap, Qazan</w:t>
      </w:r>
      <w:r w:rsidR="000D1009">
        <w:rPr>
          <w:rFonts w:ascii="Arial" w:hAnsi="Arial" w:cs="Arial"/>
          <w:sz w:val="28"/>
          <w:szCs w:val="28"/>
          <w:lang w:val="az-Latn-AZ"/>
        </w:rPr>
        <w:t>!</w:t>
      </w:r>
      <w:r w:rsidR="005C24CC">
        <w:rPr>
          <w:rFonts w:ascii="Arial" w:hAnsi="Arial" w:cs="Arial"/>
          <w:sz w:val="28"/>
          <w:szCs w:val="28"/>
          <w:lang w:val="az-Latn-AZ"/>
        </w:rPr>
        <w:t xml:space="preserve"> 2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77777777" w:rsidR="00A0176F" w:rsidRPr="00701886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14623E45" w:rsidR="00F8361E" w:rsidRDefault="00536CB4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66BFBF17" w:rsidR="002A6F6B" w:rsidRDefault="00536CB4" w:rsidP="002A6F6B">
      <w:pPr>
        <w:spacing w:line="360" w:lineRule="auto"/>
        <w:jc w:val="both"/>
        <w:rPr>
          <w:rFonts w:ascii="Arial" w:hAnsi="Arial" w:cs="Arial"/>
          <w:sz w:val="28"/>
          <w:szCs w:val="28"/>
          <w:lang w:val="az-Latn-AZ" w:eastAsia="en-US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2A6F6B" w:rsidRPr="002A6F6B">
        <w:rPr>
          <w:rFonts w:ascii="Arial" w:hAnsi="Arial" w:cs="Arial"/>
          <w:sz w:val="28"/>
          <w:szCs w:val="28"/>
          <w:lang w:val="az-Latn-AZ"/>
        </w:rPr>
        <w:t>Eyniləşdirilməsi mümkün olmayan, o cümlədən tam və ya qismən zədələnmiş bilet etibarsız sayılır və həmin biletlərə uduş ödənilmir.</w:t>
      </w:r>
    </w:p>
    <w:p w14:paraId="1C196E31" w14:textId="2C6B567E" w:rsidR="00F8361E" w:rsidRDefault="00536CB4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CCEC92B" w14:textId="140847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CB33FAC" w14:textId="239E7251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094562F" w14:textId="25BB0ADD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2492915" w14:textId="279880DF" w:rsidR="009D573F" w:rsidRDefault="005C24CC" w:rsidP="000D100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315B9973" wp14:editId="41745974">
            <wp:extent cx="36576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1A8B" w14:textId="1C4B096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B4BC7E" w14:textId="57A9CDBB" w:rsidR="009D573F" w:rsidRDefault="0025607A" w:rsidP="000D100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5DEE6B5E" wp14:editId="10D1B217">
            <wp:extent cx="22860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B10F" w14:textId="027524A1" w:rsidR="00536CB4" w:rsidRPr="00536CB4" w:rsidRDefault="00536CB4" w:rsidP="00536CB4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536CB4"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32</w:t>
      </w:r>
      <w:r w:rsidRPr="00536CB4">
        <w:rPr>
          <w:rFonts w:ascii="Arial" w:hAnsi="Arial" w:cs="Arial"/>
          <w:sz w:val="28"/>
          <w:szCs w:val="28"/>
          <w:lang w:val="az-Latn-AZ"/>
        </w:rPr>
        <w:t xml:space="preserve"> / 1</w:t>
      </w:r>
      <w:r>
        <w:rPr>
          <w:rFonts w:ascii="Arial" w:hAnsi="Arial" w:cs="Arial"/>
          <w:sz w:val="28"/>
          <w:szCs w:val="28"/>
          <w:lang w:val="az-Latn-AZ"/>
        </w:rPr>
        <w:t>2</w:t>
      </w:r>
      <w:r w:rsidRPr="00536CB4"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28</w:t>
      </w:r>
      <w:r w:rsidRPr="00536CB4"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2</w:t>
      </w:r>
    </w:p>
    <w:p w14:paraId="52922F3C" w14:textId="4D2ADFFF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8A5FC7A" w14:textId="62D38EE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sectPr w:rsidR="009D573F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2"/>
  </w:num>
  <w:num w:numId="2" w16cid:durableId="616374283">
    <w:abstractNumId w:val="0"/>
  </w:num>
  <w:num w:numId="3" w16cid:durableId="9692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D1009"/>
    <w:rsid w:val="001739A5"/>
    <w:rsid w:val="00195389"/>
    <w:rsid w:val="001F5636"/>
    <w:rsid w:val="001F71B5"/>
    <w:rsid w:val="0025607A"/>
    <w:rsid w:val="002A6F6B"/>
    <w:rsid w:val="00350528"/>
    <w:rsid w:val="00382065"/>
    <w:rsid w:val="003E5454"/>
    <w:rsid w:val="00402836"/>
    <w:rsid w:val="004119C9"/>
    <w:rsid w:val="004255E3"/>
    <w:rsid w:val="00455976"/>
    <w:rsid w:val="00530AF3"/>
    <w:rsid w:val="00536CB4"/>
    <w:rsid w:val="0054434D"/>
    <w:rsid w:val="00560F38"/>
    <w:rsid w:val="005804E5"/>
    <w:rsid w:val="005C24CC"/>
    <w:rsid w:val="006D4799"/>
    <w:rsid w:val="006F10C2"/>
    <w:rsid w:val="00706358"/>
    <w:rsid w:val="007F2903"/>
    <w:rsid w:val="0084449D"/>
    <w:rsid w:val="00874AE5"/>
    <w:rsid w:val="008808F1"/>
    <w:rsid w:val="008D1361"/>
    <w:rsid w:val="008D2E56"/>
    <w:rsid w:val="008F7258"/>
    <w:rsid w:val="00985BD8"/>
    <w:rsid w:val="009D1D60"/>
    <w:rsid w:val="009D43F9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73E2C"/>
    <w:rsid w:val="00AE21C0"/>
    <w:rsid w:val="00B15A02"/>
    <w:rsid w:val="00B5181C"/>
    <w:rsid w:val="00BB3A5D"/>
    <w:rsid w:val="00BC79E5"/>
    <w:rsid w:val="00BD6F0F"/>
    <w:rsid w:val="00D23419"/>
    <w:rsid w:val="00D62734"/>
    <w:rsid w:val="00D8055E"/>
    <w:rsid w:val="00DC4037"/>
    <w:rsid w:val="00E03FBA"/>
    <w:rsid w:val="00EC7635"/>
    <w:rsid w:val="00EE77E8"/>
    <w:rsid w:val="00F60C2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1-bc88714345d2}" enabled="1" method="Standard" siteId="{20793278-594e-4340-85f0-7339b81ef4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12</cp:revision>
  <cp:lastPrinted>2022-09-27T13:31:00Z</cp:lastPrinted>
  <dcterms:created xsi:type="dcterms:W3CDTF">2022-09-27T08:07:00Z</dcterms:created>
  <dcterms:modified xsi:type="dcterms:W3CDTF">2025-08-07T10:16:00Z</dcterms:modified>
</cp:coreProperties>
</file>